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6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pStyle w:val="Heading1"/>
        <w:spacing w:after="0"/>
        <w:ind w:left="0"/>
        <w:jc w:val="left"/>
      </w:pPr>
      <w:r>
        <w:rPr>
          <w:rFonts w:ascii="Cambria" w:hAnsi="Cambria"/>
          <w:color w:val="000000"/>
        </w:rPr>
        <w:t>PREVENT FLOODING ATTACK in NDN</w:t>
      </w:r>
    </w:p>
    <w:p>
      <w:pPr>
        <w:spacing w:after="0"/>
        <w:ind w:left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Jack Kuo</w:t>
      </w:r>
    </w:p>
    <w:p>
      <w:pPr>
        <w:spacing w:after="0"/>
        <w:ind w:left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2017.10.24 NDN Course</w:t>
      </w:r>
    </w:p>
    <w:p>
      <w:pPr>
        <w:pStyle w:val="Heading1"/>
        <w:spacing w:after="0"/>
        <w:ind w:left="0"/>
        <w:jc w:val="left"/>
      </w:pPr>
      <w:r>
        <w:rPr>
          <w:rFonts w:ascii="Cambria" w:hAnsi="Cambria"/>
          <w:color w:val="000000"/>
        </w:rPr>
        <w:t>Why</w:t>
      </w:r>
    </w:p>
    <w:p>
      <w:pPr>
        <w:numPr>
          <w:ilvl w:val="0"/>
          <w:numId w:val="1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Limited attention from the security community</w:t>
      </w:r>
    </w:p>
    <w:p>
      <w:pPr>
        <w:numPr>
          <w:ilvl w:val="0"/>
          <w:numId w:val="1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Related to my current plan</w:t>
      </w:r>
      <w:r>
        <w:rPr>
          <w:rFonts w:ascii="Cambria" w:hAnsi="Cambria"/>
          <w:b w:val="false"/>
          <w:i w:val="false"/>
          <w:color w:val="000000"/>
          <w:sz w:val="22"/>
        </w:rPr>
        <w:t xml:space="preserve"> </w:t>
      </w:r>
      <w:r>
        <w:rPr>
          <w:rFonts w:ascii="Cambria" w:hAnsi="Cambria"/>
          <w:b w:val="false"/>
          <w:i w:val="false"/>
          <w:color w:val="000000"/>
          <w:sz w:val="22"/>
        </w:rPr>
        <w:t>-</w:t>
      </w:r>
      <w:r>
        <w:rPr>
          <w:rFonts w:ascii="Cambria" w:hAnsi="Cambria"/>
          <w:b w:val="false"/>
          <w:i w:val="false"/>
          <w:color w:val="000000"/>
          <w:sz w:val="22"/>
        </w:rPr>
        <w:t xml:space="preserve">  Information Security Incubation Program</w:t>
      </w:r>
      <w:r>
        <w:rPr>
          <w:rFonts w:ascii="Cambria" w:hAnsi="Cambria"/>
          <w:b w:val="false"/>
          <w:i w:val="false"/>
          <w:color w:val="000000"/>
          <w:sz w:val="22"/>
        </w:rPr>
        <w:t xml:space="preserve"> </w:t>
      </w:r>
      <w:r>
        <w:rPr>
          <w:rFonts w:ascii="Cambria" w:hAnsi="Cambria"/>
          <w:b w:val="false"/>
          <w:i w:val="false"/>
          <w:color w:val="000000"/>
          <w:sz w:val="22"/>
        </w:rPr>
        <w:t>(</w:t>
      </w:r>
      <w:r>
        <w:rPr>
          <w:rFonts w:ascii="Cambria" w:hAnsi="Cambria"/>
          <w:b w:val="false"/>
          <w:i w:val="false"/>
          <w:color w:val="000000"/>
          <w:sz w:val="22"/>
        </w:rPr>
        <w:t>launched by Ministry of Education)</w:t>
      </w:r>
    </w:p>
    <w:p>
      <w:pPr>
        <w:numPr>
          <w:ilvl w:val="0"/>
          <w:numId w:val="1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We have lots of network facilities</w:t>
      </w:r>
    </w:p>
    <w:p>
      <w:pPr>
        <w:spacing w:after="0"/>
        <w:ind w:left="0"/>
        <w:jc w:val="left"/>
      </w:pPr>
      <w:r>
        <w:br/>
      </w:r>
    </w:p>
    <w:p>
      <w:pPr>
        <w:pStyle w:val="Heading1"/>
        <w:spacing w:after="0"/>
        <w:ind w:left="0"/>
        <w:jc w:val="left"/>
      </w:pPr>
      <w:r>
        <w:rPr>
          <w:rFonts w:ascii="Cambria" w:hAnsi="Cambria"/>
          <w:color w:val="000000"/>
        </w:rPr>
        <w:t>Related paper </w:t>
      </w:r>
    </w:p>
    <w:p>
      <w:pPr>
        <w:pStyle w:val="Heading2"/>
        <w:spacing w:after="0"/>
        <w:ind w:left="0"/>
        <w:jc w:val="left"/>
      </w:pPr>
      <w:r>
        <w:rPr>
          <w:rFonts w:ascii="Cambria" w:hAnsi="Cambria"/>
          <w:color w:val="000000"/>
        </w:rPr>
        <w:t>I have read</w:t>
      </w:r>
    </w:p>
    <w:p>
      <w:pPr>
        <w:numPr>
          <w:ilvl w:val="0"/>
          <w:numId w:val="2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Interest Flooding Attack in Named Data Networking: A Survey</w:t>
      </w:r>
    </w:p>
    <w:p>
      <w:pPr>
        <w:numPr>
          <w:ilvl w:val="0"/>
          <w:numId w:val="2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Interest Flooding Attack and Countermeasures in Named Data Networking</w:t>
      </w:r>
    </w:p>
    <w:p>
      <w:pPr>
        <w:pStyle w:val="Heading2"/>
        <w:spacing w:after="0"/>
        <w:ind w:left="0"/>
        <w:jc w:val="left"/>
      </w:pPr>
      <w:r>
        <w:rPr>
          <w:rFonts w:ascii="Cambria" w:hAnsi="Cambria"/>
          <w:color w:val="000000"/>
        </w:rPr>
        <w:t>I want to read</w:t>
      </w:r>
    </w:p>
    <w:p>
      <w:pPr>
        <w:numPr>
          <w:ilvl w:val="0"/>
          <w:numId w:val="3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A hybrid multiobjective RBFPSO method for mitigating DoSattacks in named data networking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</w:p>
    <w:p>
      <w:pPr>
        <w:pStyle w:val="Heading1"/>
        <w:spacing w:after="0"/>
        <w:ind w:left="0"/>
        <w:jc w:val="left"/>
      </w:pPr>
      <w:r>
        <w:rPr>
          <w:rFonts w:ascii="Cambria" w:hAnsi="Cambria"/>
          <w:color w:val="000000"/>
        </w:rPr>
        <w:t>The second paper summary</w:t>
      </w:r>
    </w:p>
    <w:p>
      <w:pPr>
        <w:pStyle w:val="Heading2"/>
        <w:spacing w:after="0"/>
        <w:ind w:left="0"/>
        <w:jc w:val="left"/>
      </w:pPr>
      <w:r>
        <w:rPr>
          <w:rFonts w:ascii="Cambria" w:hAnsi="Cambria"/>
          <w:color w:val="000000"/>
        </w:rPr>
        <w:t>Three countermeasure method</w:t>
      </w:r>
    </w:p>
    <w:p>
      <w:pPr>
        <w:spacing w:after="0"/>
        <w:ind w:left="0"/>
        <w:jc w:val="left"/>
      </w:pPr>
      <w:r>
        <w:rPr>
          <w:rFonts w:ascii="Cambria" w:hAnsi="Cambria"/>
          <w:b/>
          <w:i w:val="false"/>
          <w:color w:val="000000"/>
          <w:sz w:val="22"/>
        </w:rPr>
        <w:t>Token bucket with per interface fairness</w:t>
      </w:r>
    </w:p>
    <w:p>
      <w:pPr>
        <w:numPr>
          <w:ilvl w:val="0"/>
          <w:numId w:val="4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Using token and extended PIT to control packet forwarding</w:t>
      </w:r>
    </w:p>
    <w:p>
      <w:pPr>
        <w:numPr>
          <w:ilvl w:val="0"/>
          <w:numId w:val="4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The worst of three</w:t>
      </w:r>
    </w:p>
    <w:p>
      <w:pPr>
        <w:spacing w:after="0"/>
        <w:ind w:left="0"/>
        <w:jc w:val="left"/>
      </w:pPr>
      <w:r>
        <w:rPr>
          <w:rFonts w:ascii="Cambria" w:hAnsi="Cambria"/>
          <w:b/>
          <w:i w:val="false"/>
          <w:color w:val="000000"/>
          <w:sz w:val="22"/>
        </w:rPr>
        <w:t>Satisfaction-based Interest acceptance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Router randomly drop packet according to Interest satisfaction ratio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Ranked in middle and has periodic dip in small-scale binary tree topology</w:t>
      </w:r>
    </w:p>
    <w:p>
      <w:pPr>
        <w:spacing w:after="0"/>
        <w:ind w:left="0"/>
        <w:jc w:val="left"/>
      </w:pPr>
      <w:r>
        <w:rPr>
          <w:rFonts w:ascii="Cambria" w:hAnsi="Cambria"/>
          <w:b/>
          <w:i w:val="false"/>
          <w:color w:val="000000"/>
          <w:sz w:val="22"/>
        </w:rPr>
        <w:t>Satisfaction-based pushback</w:t>
      </w:r>
    </w:p>
    <w:p>
      <w:pPr>
        <w:numPr>
          <w:ilvl w:val="0"/>
          <w:numId w:val="6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Router give quota to downstream one recursively</w:t>
      </w:r>
    </w:p>
    <w:p>
      <w:pPr>
        <w:numPr>
          <w:ilvl w:val="0"/>
          <w:numId w:val="6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The best one in small-scale and ISP-like scale</w:t>
      </w:r>
    </w:p>
    <w:p>
      <w:pPr>
        <w:spacing w:after="0"/>
        <w:ind w:left="0"/>
        <w:jc w:val="left"/>
      </w:pPr>
      <w:r>
        <w:br/>
      </w:r>
    </w:p>
    <w:p>
      <w:pPr>
        <w:pStyle w:val="Heading2"/>
        <w:spacing w:after="0"/>
        <w:ind w:left="0"/>
        <w:jc w:val="left"/>
      </w:pPr>
      <w:r>
        <w:rPr>
          <w:rFonts w:ascii="Cambria" w:hAnsi="Cambria"/>
          <w:color w:val="000000"/>
        </w:rPr>
        <w:t>Pros and Cons</w:t>
      </w:r>
    </w:p>
    <w:p>
      <w:pPr>
        <w:spacing w:after="0"/>
        <w:ind w:left="0"/>
        <w:jc w:val="left"/>
      </w:pPr>
      <w:r>
        <w:rPr>
          <w:rFonts w:ascii="Cambria" w:hAnsi="Cambria"/>
          <w:b/>
          <w:i w:val="false"/>
          <w:color w:val="000000"/>
          <w:sz w:val="22"/>
        </w:rPr>
        <w:t>Prons</w:t>
      </w:r>
    </w:p>
    <w:p>
      <w:pPr>
        <w:numPr>
          <w:ilvl w:val="0"/>
          <w:numId w:val="7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 xml:space="preserve">Some code he uses is shared on </w:t>
      </w:r>
      <w:hyperlink r:id="rId5">
        <w:r>
          <w:rPr>
            <w:rFonts w:ascii="Cambria" w:hAnsi="Cambria"/>
            <w:b w:val="false"/>
            <w:i w:val="false"/>
            <w:color w:val="0000ff"/>
            <w:sz w:val="22"/>
            <w:u w:val="single"/>
          </w:rPr>
          <w:t>GitHub </w:t>
        </w:r>
      </w:hyperlink>
      <w:r>
        <w:drawing>
          <wp:inline distT="0" distB="0" distL="0" distR="0">
            <wp:extent cx="203200" cy="203200"/>
            <wp:effectExtent l="0" t="0" r="0" b="0"/>
            <wp:docPr id="0" name="" descr="smiling face with open mouth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 w:val="false"/>
          <w:i w:val="false"/>
          <w:color w:val="000000"/>
          <w:sz w:val="22"/>
        </w:rPr>
        <w:t> </w:t>
      </w:r>
    </w:p>
    <w:p>
      <w:pPr>
        <w:spacing w:after="0"/>
        <w:ind w:left="0"/>
        <w:jc w:val="left"/>
      </w:pPr>
      <w:r>
        <w:rPr>
          <w:rFonts w:ascii="Cambria" w:hAnsi="Cambria"/>
          <w:b/>
          <w:i w:val="false"/>
          <w:color w:val="000000"/>
          <w:sz w:val="22"/>
        </w:rPr>
        <w:t>Cons</w:t>
      </w:r>
    </w:p>
    <w:p>
      <w:pPr>
        <w:numPr>
          <w:ilvl w:val="0"/>
          <w:numId w:val="8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Token bucket method may use</w:t>
      </w:r>
      <w:r>
        <w:rPr>
          <w:rFonts w:ascii="Cambria" w:hAnsi="Cambria"/>
          <w:b w:val="false"/>
          <w:i w:val="false"/>
          <w:color w:val="000000"/>
          <w:sz w:val="22"/>
        </w:rPr>
        <w:t xml:space="preserve"> </w:t>
      </w:r>
      <w:r>
        <w:rPr>
          <w:rFonts w:ascii="Cambria" w:hAnsi="Cambria"/>
          <w:b w:val="false"/>
          <w:i w:val="false"/>
          <w:color w:val="000000"/>
          <w:sz w:val="22"/>
        </w:rPr>
        <w:t>“</w:t>
      </w:r>
      <w:r>
        <w:rPr>
          <w:rFonts w:ascii="Cambria" w:hAnsi="Cambria"/>
          <w:b w:val="false"/>
          <w:i w:val="false"/>
          <w:color w:val="000000"/>
          <w:sz w:val="22"/>
        </w:rPr>
        <w:t>two rate three color marker” but paper doesn’t mention</w:t>
      </w:r>
    </w:p>
    <w:p>
      <w:pPr>
        <w:numPr>
          <w:ilvl w:val="0"/>
          <w:numId w:val="8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If attacker stop attacking, he’s still blocked by router</w:t>
      </w:r>
    </w:p>
    <w:p>
      <w:pPr>
        <w:spacing w:after="0"/>
        <w:ind w:left="0"/>
        <w:jc w:val="left"/>
      </w:pPr>
      <w:r>
        <w:br/>
      </w:r>
    </w:p>
    <w:p>
      <w:pPr>
        <w:pStyle w:val="Heading1"/>
        <w:spacing w:after="0"/>
        <w:ind w:left="0"/>
        <w:jc w:val="left"/>
      </w:pPr>
      <w:r>
        <w:rPr>
          <w:rFonts w:ascii="Cambria" w:hAnsi="Cambria"/>
          <w:color w:val="000000"/>
        </w:rPr>
        <w:t>What should I need?</w:t>
      </w:r>
    </w:p>
    <w:p>
      <w:pPr>
        <w:numPr>
          <w:ilvl w:val="0"/>
          <w:numId w:val="9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Lots of computers to run NDN router, Producer,  Consumer</w:t>
      </w:r>
    </w:p>
    <w:p>
      <w:pPr>
        <w:numPr>
          <w:ilvl w:val="0"/>
          <w:numId w:val="9"/>
        </w:numPr>
        <w:spacing w:after="0"/>
        <w:jc w:val="left"/>
      </w:pPr>
      <w:r>
        <w:rPr>
          <w:rFonts w:ascii="Cambria" w:hAnsi="Cambria"/>
          <w:b w:val="false"/>
          <w:i w:val="false"/>
          <w:color w:val="000000"/>
          <w:sz w:val="22"/>
        </w:rPr>
        <w:t>Skill to write script and build entire NDN network</w:t>
      </w:r>
    </w:p>
    <w:p>
      <w:pPr>
        <w:spacing w:after="0"/>
        <w:ind w:left="0"/>
        <w:jc w:val="left"/>
      </w:pPr>
      <w:r>
        <w:br/>
      </w:r>
    </w:p>
    <w:sectPr>
      <w:pgSz w:w="12240" w:h="15840" w:code="1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../chunk.xhtml" Type="http://schemas.openxmlformats.org/officeDocument/2006/relationships/aFChunk" Id="rId3"/>
    <Relationship Target="numbering.xml" Type="http://schemas.openxmlformats.org/officeDocument/2006/relationships/numbering" Id="rId4"/>
    <Relationship TargetMode="External" Target="https://github.com/cawka" Type="http://schemas.openxmlformats.org/officeDocument/2006/relationships/hyperlink" Id="rId5"/>
    <Relationship Target="media/document_image_rId6.png" Type="http://schemas.openxmlformats.org/officeDocument/2006/relationships/image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